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jc w:val="center"/>
        <w:rPr>
          <w:rFonts w:ascii="Playfair Display" w:cs="Playfair Display" w:eastAsia="Playfair Display" w:hAnsi="Playfair Display"/>
          <w:sz w:val="48"/>
          <w:szCs w:val="48"/>
        </w:rPr>
      </w:pPr>
      <w:bookmarkStart w:colFirst="0" w:colLast="0" w:name="_rrbz5f6m54o3" w:id="0"/>
      <w:bookmarkEnd w:id="0"/>
      <w:r w:rsidDel="00000000" w:rsidR="00000000" w:rsidRPr="00000000">
        <w:rPr>
          <w:rFonts w:ascii="Playfair Display" w:cs="Playfair Display" w:eastAsia="Playfair Display" w:hAnsi="Playfair Display"/>
          <w:sz w:val="48"/>
          <w:szCs w:val="48"/>
          <w:rtl w:val="0"/>
        </w:rPr>
        <w:t xml:space="preserve">BBQ Expo e Butcher Show chiudono con oltre 26 mila presenze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Oswald Light" w:cs="Oswald Light" w:eastAsia="Oswald Light" w:hAnsi="Oswald Light"/>
          <w:sz w:val="32"/>
          <w:szCs w:val="32"/>
          <w:rtl w:val="0"/>
        </w:rPr>
        <w:t xml:space="preserve">Il doppio appuntamento a Fiere di Parma premiato da appassionati e professionisti.</w:t>
        <w:br w:type="textWrapping"/>
        <w:t xml:space="preserve">Le due fiere torneranno l’anno prossimo dal 3 al 6 aprile 2027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Parma, 14 aprile - Grande successo di pubblico per BBQ Expo e Butcher Show a Fiere di Parma, che hanno registrato oltre 26 mila presenze. Il doppio appuntamento, frutto della partnership tra Area Fiera e Fiere di Parma, ha offerto ad appassionati e professionisti 400 brand, 68 eventi e academy tenute da 42 pit master. E ancora più di 100 macellai in fiera, in gara e in aula, provenienti da tutta Italia e dall'estero.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I 4 giorni delle manifestazioni sono stati accompagnati da un ricco programma di eventi e corsi, realizzati in collaborazione con pitmaster, aziende, Federcarni e La Nazionale Italiana Macellai, che in occasione di Butcher Show ha svolto anche le selezioni per i Mondiali 2028 in Australia. Durante il weekend si è svolta la Master's Challenge, la più grande gara europea di barbecue, certificata dalla KCBS, la federazione americana che regola le competizioni di barbecue a livello mondiale, che ha coinvolto 40 team italiani ed europei.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"</w:t>
      </w:r>
      <w:r w:rsidDel="00000000" w:rsidR="00000000" w:rsidRPr="00000000">
        <w:rPr>
          <w:rFonts w:ascii="Source Sans Pro" w:cs="Source Sans Pro" w:eastAsia="Source Sans Pro" w:hAnsi="Source Sans Pro"/>
          <w:i w:val="1"/>
          <w:iCs w:val="1"/>
          <w:sz w:val="24"/>
          <w:szCs w:val="24"/>
          <w:rtl w:val="0"/>
        </w:rPr>
        <w:t xml:space="preserve">Il barbecue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- afferma </w:t>
      </w:r>
      <w:r w:rsidDel="00000000" w:rsidR="00000000" w:rsidRPr="00000000">
        <w:rPr>
          <w:rFonts w:ascii="Source Sans Pro" w:cs="Source Sans Pro" w:eastAsia="Source Sans Pro" w:hAnsi="Source Sans Pro"/>
          <w:b w:val="1"/>
          <w:bCs w:val="1"/>
          <w:sz w:val="24"/>
          <w:szCs w:val="24"/>
          <w:rtl w:val="0"/>
        </w:rPr>
        <w:t xml:space="preserve">Antonio Cellie,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Amministratore delegato di Fiere di Parma - </w:t>
      </w:r>
      <w:r w:rsidDel="00000000" w:rsidR="00000000" w:rsidRPr="00000000">
        <w:rPr>
          <w:rFonts w:ascii="Source Sans Pro" w:cs="Source Sans Pro" w:eastAsia="Source Sans Pro" w:hAnsi="Source Sans Pro"/>
          <w:i w:val="1"/>
          <w:iCs w:val="1"/>
          <w:sz w:val="24"/>
          <w:szCs w:val="24"/>
          <w:rtl w:val="0"/>
        </w:rPr>
        <w:t xml:space="preserve">in pochi anni è diventato un comparto con una sua identità produttiva e una filiera che connette dispositivi, materia prima, formazione e ristorazione. BBQ Expo e Butcher Show raccontano esattamente questa maturità: un mercato fatto di appassionati e allo stesso tempo sistema economico dove si strutturano imprese con fatturati milionari. È il tipo di trasformazione che le fiere possono accelerare, mettendo nello stesso spazio chi produce, chi forma e chi compra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".</w:t>
      </w:r>
    </w:p>
    <w:p w:rsidR="00000000" w:rsidDel="00000000" w:rsidP="00000000" w:rsidRDefault="00000000" w:rsidRPr="00000000" w14:paraId="00000008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"</w:t>
      </w:r>
      <w:r w:rsidDel="00000000" w:rsidR="00000000" w:rsidRPr="00000000">
        <w:rPr>
          <w:rFonts w:ascii="Source Sans Pro" w:cs="Source Sans Pro" w:eastAsia="Source Sans Pro" w:hAnsi="Source Sans Pro"/>
          <w:i w:val="1"/>
          <w:iCs w:val="1"/>
          <w:sz w:val="24"/>
          <w:szCs w:val="24"/>
          <w:rtl w:val="0"/>
        </w:rPr>
        <w:t xml:space="preserve">Butcher Show e BBQ Expo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- conclude </w:t>
      </w:r>
      <w:r w:rsidDel="00000000" w:rsidR="00000000" w:rsidRPr="00000000">
        <w:rPr>
          <w:rFonts w:ascii="Source Sans Pro" w:cs="Source Sans Pro" w:eastAsia="Source Sans Pro" w:hAnsi="Source Sans Pro"/>
          <w:b w:val="1"/>
          <w:bCs w:val="1"/>
          <w:sz w:val="24"/>
          <w:szCs w:val="24"/>
          <w:rtl w:val="0"/>
        </w:rPr>
        <w:t xml:space="preserve">Mauro Grandi,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CEO di Area Fiera - </w:t>
      </w:r>
      <w:r w:rsidDel="00000000" w:rsidR="00000000" w:rsidRPr="00000000">
        <w:rPr>
          <w:rFonts w:ascii="Source Sans Pro" w:cs="Source Sans Pro" w:eastAsia="Source Sans Pro" w:hAnsi="Source Sans Pro"/>
          <w:i w:val="1"/>
          <w:iCs w:val="1"/>
          <w:sz w:val="24"/>
          <w:szCs w:val="24"/>
          <w:rtl w:val="0"/>
        </w:rPr>
        <w:t xml:space="preserve">raccontano due settori che hanno percorso la stessa traiettoria: da trend a sistemi economici strutturati, con imprese, filiere dedicate, identità di marca e una cultura professionale definita. Comparti che grazie a queste due fiere potranno sviluppare ulteriori e concrete prospettive di crescita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."</w:t>
      </w:r>
    </w:p>
    <w:p w:rsidR="00000000" w:rsidDel="00000000" w:rsidP="00000000" w:rsidRDefault="00000000" w:rsidRPr="00000000" w14:paraId="00000009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BBQ Expo e Butcher Show torneranno nel 2027 dal 3 al 6  aprile.</w:t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UFFICIO STAMPA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Maia PR &amp; Comunicazione</w:t>
        <w:br w:type="textWrapping"/>
        <w:t xml:space="preserve">Antonella Maia |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press@antonellamaia.com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| Cell 349 4757783</w:t>
      </w:r>
    </w:p>
    <w:p w:rsidR="00000000" w:rsidDel="00000000" w:rsidP="00000000" w:rsidRDefault="00000000" w:rsidRPr="00000000" w14:paraId="0000000D">
      <w:pPr>
        <w:spacing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INFORMAZIONI</w:t>
        <w:br w:type="textWrapping"/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https://bbqexpo.it/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-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https://butchershow.it/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Playfair Displ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swald Light">
    <w:embedRegular w:fontKey="{00000000-0000-0000-0000-000000000000}" r:id="rId5" w:subsetted="0"/>
    <w:embedBold w:fontKey="{00000000-0000-0000-0000-000000000000}" r:id="rId6" w:subsetted="0"/>
  </w:font>
  <w:font w:name="Source Sans Pro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line="276" w:lineRule="auto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1104900</wp:posOffset>
          </wp:positionH>
          <wp:positionV relativeFrom="paragraph">
            <wp:posOffset>257175</wp:posOffset>
          </wp:positionV>
          <wp:extent cx="1785938" cy="480181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5938" cy="480181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"/>
      <w:tblW w:w="9029.0" w:type="dxa"/>
      <w:jc w:val="left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514.5"/>
      <w:gridCol w:w="4514.5"/>
      <w:tblGridChange w:id="0">
        <w:tblGrid>
          <w:gridCol w:w="4514.5"/>
          <w:gridCol w:w="4514.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4">
          <w:pPr>
            <w:widowControl w:val="0"/>
            <w:spacing w:line="240" w:lineRule="auto"/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5">
          <w:pPr>
            <w:widowControl w:val="0"/>
            <w:spacing w:line="240" w:lineRule="auto"/>
            <w:jc w:val="center"/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1428750" cy="663066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-14904" l="0" r="-14904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66306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press@antonellamaia.com" TargetMode="External"/><Relationship Id="rId7" Type="http://schemas.openxmlformats.org/officeDocument/2006/relationships/hyperlink" Target="https://bbqexpo.it/#" TargetMode="External"/><Relationship Id="rId8" Type="http://schemas.openxmlformats.org/officeDocument/2006/relationships/hyperlink" Target="https://butchershow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fairDisplay-regular.ttf"/><Relationship Id="rId2" Type="http://schemas.openxmlformats.org/officeDocument/2006/relationships/font" Target="fonts/PlayfairDisplay-bold.ttf"/><Relationship Id="rId3" Type="http://schemas.openxmlformats.org/officeDocument/2006/relationships/font" Target="fonts/PlayfairDisplay-italic.ttf"/><Relationship Id="rId4" Type="http://schemas.openxmlformats.org/officeDocument/2006/relationships/font" Target="fonts/PlayfairDisplay-boldItalic.ttf"/><Relationship Id="rId5" Type="http://schemas.openxmlformats.org/officeDocument/2006/relationships/font" Target="fonts/OswaldLight-regular.ttf"/><Relationship Id="rId6" Type="http://schemas.openxmlformats.org/officeDocument/2006/relationships/font" Target="fonts/OswaldLight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